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МОБУ "Кувайская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8"/>
        <w:gridCol w:w="1475"/>
        <w:gridCol w:w="4131"/>
      </w:tblGrid>
      <w:tr>
        <w:trPr/>
        <w:tc>
          <w:tcPr>
            <w:tcW w:w="3738"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МО естественно-научного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Малахова Т.Ю.</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№1 </w:t>
            </w:r>
            <w:r>
              <w:rPr>
                <w:rFonts w:eastAsia="Times New Roman" w:ascii="Times New Roman" w:hAnsi="Times New Roman"/>
                <w:color w:val="000000"/>
                <w:sz w:val="24"/>
                <w:szCs w:val="24"/>
                <w:lang w:val="ru-RU"/>
              </w:rPr>
              <w:t xml:space="preserve">от «30.08.2023»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147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4131"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Урбисинова С.А.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86 от «30» 08.2023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2298134)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0" w:name="86e18b3c-35f3-4b4e-b4f2-8d25001e58d1"/>
      <w:r>
        <w:rPr>
          <w:rFonts w:ascii="Times New Roman" w:hAnsi="Times New Roman"/>
          <w:b/>
          <w:i w:val="false"/>
          <w:color w:val="000000"/>
          <w:sz w:val="28"/>
        </w:rPr>
        <w:t>с. Кувай</w:t>
      </w:r>
      <w:bookmarkEnd w:id="0"/>
      <w:r>
        <w:rPr>
          <w:rFonts w:ascii="Times New Roman" w:hAnsi="Times New Roman"/>
          <w:b/>
          <w:i w:val="false"/>
          <w:color w:val="000000"/>
          <w:sz w:val="28"/>
        </w:rPr>
        <w:t xml:space="preserve"> </w:t>
      </w:r>
      <w:bookmarkStart w:id="1" w:name="c1839617-66db-4450-acc5-76a3deaf668e"/>
      <w:r>
        <w:rPr>
          <w:rFonts w:ascii="Times New Roman" w:hAnsi="Times New Roman"/>
          <w:b/>
          <w:i w:val="false"/>
          <w:color w:val="000000"/>
          <w:sz w:val="28"/>
        </w:rPr>
        <w:t>2023</w:t>
      </w:r>
      <w:bookmarkEnd w:id="1"/>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2" w:name="block-170897761"/>
      <w:bookmarkStart w:id="3" w:name="block-17089776"/>
      <w:bookmarkStart w:id="4" w:name="block-170897761"/>
      <w:bookmarkStart w:id="5" w:name="block-17089776"/>
      <w:bookmarkEnd w:id="4"/>
      <w:bookmarkEnd w:id="5"/>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bookmarkStart w:id="6"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r>
      <w:bookmarkStart w:id="7" w:name="8ddfe65f-f659-49ad-9159-952bb7a2712d1"/>
      <w:bookmarkEnd w:id="7"/>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8" w:name="block-170897771"/>
      <w:bookmarkStart w:id="9" w:name="block-17089777"/>
      <w:bookmarkEnd w:id="8"/>
      <w:bookmarkEnd w:id="9"/>
    </w:p>
    <w:p>
      <w:pPr>
        <w:pStyle w:val="Normal"/>
        <w:spacing w:lineRule="exact" w:line="264" w:before="0" w:after="0"/>
        <w:ind w:left="120" w:hanging="0"/>
        <w:jc w:val="both"/>
        <w:rPr/>
      </w:pPr>
      <w:bookmarkStart w:id="10" w:name="_Toc124426195"/>
      <w:bookmarkEnd w:id="10"/>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1" w:name="_Toc124426200"/>
      <w:bookmarkEnd w:id="11"/>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2" w:name="block-170897781"/>
      <w:bookmarkStart w:id="13" w:name="block-17089778"/>
      <w:bookmarkEnd w:id="12"/>
      <w:bookmarkEnd w:id="13"/>
    </w:p>
    <w:p>
      <w:pPr>
        <w:pStyle w:val="Normal"/>
        <w:spacing w:lineRule="exact" w:line="264" w:before="0" w:after="0"/>
        <w:ind w:left="120" w:hanging="0"/>
        <w:jc w:val="both"/>
        <w:rPr/>
      </w:pPr>
      <w:bookmarkStart w:id="14" w:name="_Toc124426206"/>
      <w:bookmarkEnd w:id="14"/>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5" w:name="_Toc124412006"/>
      <w:bookmarkEnd w:id="15"/>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6" w:name="block-170897751"/>
      <w:bookmarkStart w:id="17" w:name="block-17089775"/>
      <w:bookmarkEnd w:id="1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17089779"/>
      <w:bookmarkStart w:id="19" w:name="block-17089779"/>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27"/>
        <w:gridCol w:w="3011"/>
        <w:gridCol w:w="1165"/>
        <w:gridCol w:w="2159"/>
        <w:gridCol w:w="2303"/>
        <w:gridCol w:w="1628"/>
        <w:gridCol w:w="2800"/>
      </w:tblGrid>
      <w:tr>
        <w:trPr>
          <w:trHeight w:val="144" w:hRule="atLeast"/>
        </w:trPr>
        <w:tc>
          <w:tcPr>
            <w:tcW w:w="5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https://m.edsoo.ru/ff09f72a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https://m.edsoo.ru/ff09fe0a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https://m.edsoo.ru/ff0a013e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https://m.edsoo.ru/ff0a0378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https://m.edsoo.ru/ff0a05c6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https://m.edsoo.ru/ff0a079c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https://m.edsoo.ru/ff0a0ae4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https://m.edsoo.ru/ff0a0c10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https://m.edsoo.ru/ff0a0fee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https://m.edsoo.ru/ff0a123c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https://m.edsoo.ru/ff0a1502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https://m.edsoo.ru/ff0a18cc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https://m.edsoo.ru/ff0a1a70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https://m.edsoo.ru/ff0a1b9c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https://m.edsoo.ru/ff0a1cc8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https://m.edsoo.ru/ff0a1de0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https://m.edsoo.ru/ff0a20a6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https://m.edsoo.ru/ff0a2376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https://m.edsoo.ru/ff0a25b0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https://m.edsoo.ru/ff0a2718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https://m.edsoo.ru/ff0a2826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https://m.edsoo.ru/ff0a2970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https://m.edsoo.ru/ff0a3136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https://m.edsoo.ru/ff0a2da8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https://m.edsoo.ru/ff0a3276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https://m.edsoo.ru/ff0a33fc</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https://m.edsoo.ru/ff0a3514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https://m.edsoo.ru/ff0a3a96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https://m.edsoo.ru/ff0a3654</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https://m.edsoo.ru/ff0a478e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https://m.edsoo.ru/ff0a48a6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https://m.edsoo.ru/ff0a4c48</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https://m.edsoo.ru/ff0a4252</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https://m.edsoo.ru/ff0a4360</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https://m.edsoo.ru/ff0a4ee6</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https://m.edsoo.ru/ff0a4ffe</w:t>
              </w:r>
            </w:hyperlink>
          </w:p>
        </w:tc>
      </w:tr>
      <w:tr>
        <w:trPr>
          <w:trHeight w:val="144" w:hRule="atLeast"/>
        </w:trPr>
        <w:tc>
          <w:tcPr>
            <w:tcW w:w="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2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33"/>
        <w:gridCol w:w="3200"/>
        <w:gridCol w:w="1111"/>
        <w:gridCol w:w="2094"/>
        <w:gridCol w:w="2242"/>
        <w:gridCol w:w="1578"/>
        <w:gridCol w:w="2735"/>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0" w:name="block-17089780"/>
      <w:bookmarkStart w:id="21" w:name="block-17089780"/>
      <w:bookmarkEnd w:id="21"/>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22" w:name="block-170897811"/>
      <w:bookmarkStart w:id="23" w:name="block-17089781"/>
      <w:bookmarkStart w:id="24" w:name="block-170897811"/>
      <w:bookmarkStart w:id="25" w:name="block-17089781"/>
      <w:bookmarkEnd w:id="24"/>
      <w:bookmarkEnd w:id="2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LibreOffice/7.0.4.2$Windows_X86_64 LibreOffice_project/dcf040e67528d9187c66b2379df5ea4407429775</Application>
  <AppVersion>15.0000</AppVersion>
  <Pages>72</Pages>
  <Words>10474</Words>
  <Characters>76271</Characters>
  <CharactersWithSpaces>85774</CharactersWithSpaces>
  <Paragraphs>1708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2023-11-03T08:56:59Z</dcterms:modified>
  <cp:revision>1</cp:revision>
  <dc:subject/>
  <dc:title/>
</cp:coreProperties>
</file>